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66" w:rsidRPr="00C32366" w:rsidRDefault="00C32366" w:rsidP="00C32366">
      <w:pPr>
        <w:rPr>
          <w:rFonts w:ascii="Tahoma" w:hAnsi="Tahoma" w:cs="Tahoma"/>
          <w:b/>
          <w:color w:val="1F497D"/>
          <w:sz w:val="32"/>
          <w:szCs w:val="32"/>
        </w:rPr>
      </w:pPr>
      <w:r w:rsidRPr="00C32366">
        <w:rPr>
          <w:rFonts w:ascii="Tahoma" w:hAnsi="Tahoma" w:cs="Tahoma"/>
          <w:b/>
          <w:color w:val="1F497D"/>
          <w:sz w:val="32"/>
          <w:szCs w:val="32"/>
        </w:rPr>
        <w:t xml:space="preserve">Respect Life Office </w:t>
      </w:r>
    </w:p>
    <w:p w:rsidR="00C32366" w:rsidRPr="00C32366" w:rsidRDefault="00C32366" w:rsidP="00C32366">
      <w:pPr>
        <w:rPr>
          <w:rFonts w:ascii="Tahoma" w:hAnsi="Tahoma" w:cs="Tahoma"/>
          <w:b/>
          <w:bCs/>
          <w:sz w:val="24"/>
          <w:szCs w:val="24"/>
        </w:rPr>
      </w:pPr>
    </w:p>
    <w:p w:rsidR="00C32366" w:rsidRPr="00906899" w:rsidRDefault="00C32366" w:rsidP="00906899">
      <w:pPr>
        <w:rPr>
          <w:rFonts w:ascii="Tahoma" w:hAnsi="Tahoma" w:cs="Tahoma"/>
          <w:b/>
          <w:bCs/>
          <w:i/>
          <w:iCs/>
          <w:sz w:val="24"/>
          <w:szCs w:val="24"/>
        </w:rPr>
      </w:pPr>
      <w:bookmarkStart w:id="0" w:name="_GoBack"/>
      <w:bookmarkEnd w:id="0"/>
      <w:r w:rsidRPr="00906899">
        <w:rPr>
          <w:rFonts w:ascii="Tahoma" w:hAnsi="Tahoma" w:cs="Tahoma"/>
          <w:b/>
          <w:bCs/>
          <w:i/>
          <w:iCs/>
          <w:sz w:val="24"/>
          <w:szCs w:val="24"/>
        </w:rPr>
        <w:t xml:space="preserve">Faithful Citizenship </w:t>
      </w:r>
    </w:p>
    <w:p w:rsidR="00C32366" w:rsidRPr="00C32366" w:rsidRDefault="00C32366" w:rsidP="00C32366">
      <w:pPr>
        <w:rPr>
          <w:rFonts w:ascii="Tahoma" w:hAnsi="Tahoma" w:cs="Tahoma"/>
          <w:b/>
          <w:bCs/>
          <w:i/>
          <w:iCs/>
          <w:sz w:val="24"/>
          <w:szCs w:val="24"/>
        </w:rPr>
      </w:pPr>
    </w:p>
    <w:p w:rsidR="00C32366" w:rsidRPr="00C32366" w:rsidRDefault="00C32366" w:rsidP="00C32366">
      <w:pPr>
        <w:rPr>
          <w:rFonts w:ascii="Tahoma" w:hAnsi="Tahoma" w:cs="Tahoma"/>
          <w:sz w:val="24"/>
          <w:szCs w:val="24"/>
        </w:rPr>
      </w:pPr>
      <w:r w:rsidRPr="00C32366">
        <w:rPr>
          <w:rFonts w:ascii="Tahoma" w:hAnsi="Tahoma" w:cs="Tahoma"/>
          <w:sz w:val="24"/>
          <w:szCs w:val="24"/>
        </w:rPr>
        <w:t xml:space="preserve">As the election approaches, cultivating informed consciences among parishioners is important. In their document </w:t>
      </w:r>
      <w:hyperlink r:id="rId4" w:history="1">
        <w:r w:rsidRPr="00C32366">
          <w:rPr>
            <w:rStyle w:val="Hyperlink"/>
            <w:rFonts w:ascii="Tahoma" w:hAnsi="Tahoma" w:cs="Tahoma"/>
            <w:i/>
            <w:iCs/>
            <w:sz w:val="24"/>
            <w:szCs w:val="24"/>
          </w:rPr>
          <w:t>Forming Consciences for Faithful Citizenship</w:t>
        </w:r>
      </w:hyperlink>
      <w:r w:rsidRPr="00C32366">
        <w:rPr>
          <w:rFonts w:ascii="Tahoma" w:hAnsi="Tahoma" w:cs="Tahoma"/>
          <w:i/>
          <w:iCs/>
          <w:sz w:val="24"/>
          <w:szCs w:val="24"/>
        </w:rPr>
        <w:t>,</w:t>
      </w:r>
      <w:r w:rsidRPr="00C32366">
        <w:rPr>
          <w:rFonts w:ascii="Tahoma" w:hAnsi="Tahoma" w:cs="Tahoma"/>
          <w:sz w:val="24"/>
          <w:szCs w:val="24"/>
        </w:rPr>
        <w:t xml:space="preserve"> the US Bishops acknowledge that many Catholics “may feel politically disenfranchised, sensing that no party and few candidates fully share our comprehensive commitment to human life and dignity.” However, while there are many political issues that are important to us as Catholics, the bishops state that “the threat of abortion remains our preeminent priority because it directly attacks life itself.” To help pastors and parishes navigate this election season, the following resources on faithful citizenship from the USCCB will be a great asset. Ed Mechmann, Director of the Public Policy Office, has also written an excellent article answering the question: </w:t>
      </w:r>
      <w:hyperlink r:id="rId5" w:history="1">
        <w:r w:rsidRPr="00C32366">
          <w:rPr>
            <w:rStyle w:val="Hyperlink"/>
            <w:rFonts w:ascii="Tahoma" w:hAnsi="Tahoma" w:cs="Tahoma"/>
            <w:sz w:val="24"/>
            <w:szCs w:val="24"/>
          </w:rPr>
          <w:t>“Could voting for a particular candidate be a sin?”</w:t>
        </w:r>
      </w:hyperlink>
      <w:r w:rsidRPr="00C32366">
        <w:rPr>
          <w:rFonts w:ascii="Tahoma" w:hAnsi="Tahoma" w:cs="Tahoma"/>
          <w:sz w:val="24"/>
          <w:szCs w:val="24"/>
        </w:rPr>
        <w:t xml:space="preserve"> </w:t>
      </w:r>
    </w:p>
    <w:p w:rsidR="00C32366" w:rsidRPr="00C32366" w:rsidRDefault="00C32366" w:rsidP="00C32366">
      <w:pPr>
        <w:ind w:firstLine="720"/>
        <w:rPr>
          <w:rFonts w:ascii="Tahoma" w:hAnsi="Tahoma" w:cs="Tahoma"/>
          <w:sz w:val="24"/>
          <w:szCs w:val="24"/>
        </w:rPr>
      </w:pPr>
    </w:p>
    <w:p w:rsidR="00C32366" w:rsidRPr="00C32366" w:rsidRDefault="00C32366" w:rsidP="00C32366">
      <w:pPr>
        <w:pStyle w:val="ListParagraph"/>
        <w:ind w:hanging="360"/>
        <w:rPr>
          <w:rFonts w:ascii="Tahoma" w:hAnsi="Tahoma" w:cs="Tahoma"/>
          <w:sz w:val="24"/>
          <w:szCs w:val="24"/>
        </w:rPr>
      </w:pPr>
      <w:r w:rsidRPr="00C32366">
        <w:rPr>
          <w:rFonts w:ascii="Tahoma" w:hAnsi="Tahoma" w:cs="Tahoma"/>
          <w:sz w:val="24"/>
          <w:szCs w:val="24"/>
        </w:rPr>
        <w:t>1.</w:t>
      </w:r>
      <w:r w:rsidRPr="00C32366">
        <w:rPr>
          <w:rFonts w:ascii="Tahoma" w:hAnsi="Tahoma" w:cs="Tahoma"/>
          <w:sz w:val="14"/>
          <w:szCs w:val="14"/>
        </w:rPr>
        <w:t xml:space="preserve">       </w:t>
      </w:r>
      <w:r w:rsidRPr="00C32366">
        <w:rPr>
          <w:rFonts w:ascii="Tahoma" w:hAnsi="Tahoma" w:cs="Tahoma"/>
          <w:sz w:val="24"/>
          <w:szCs w:val="24"/>
        </w:rPr>
        <w:t xml:space="preserve">Summary of </w:t>
      </w:r>
      <w:r w:rsidRPr="00C32366">
        <w:rPr>
          <w:rFonts w:ascii="Tahoma" w:hAnsi="Tahoma" w:cs="Tahoma"/>
          <w:i/>
          <w:iCs/>
          <w:sz w:val="24"/>
          <w:szCs w:val="24"/>
        </w:rPr>
        <w:t xml:space="preserve">Forming Consciences for Faithful Citizenship: </w:t>
      </w:r>
      <w:hyperlink r:id="rId6" w:history="1">
        <w:r w:rsidRPr="00C32366">
          <w:rPr>
            <w:rStyle w:val="Hyperlink"/>
            <w:rFonts w:ascii="Tahoma" w:hAnsi="Tahoma" w:cs="Tahoma"/>
            <w:sz w:val="24"/>
            <w:szCs w:val="24"/>
          </w:rPr>
          <w:t>Part 1</w:t>
        </w:r>
      </w:hyperlink>
      <w:r w:rsidRPr="00C32366">
        <w:rPr>
          <w:rFonts w:ascii="Tahoma" w:hAnsi="Tahoma" w:cs="Tahoma"/>
          <w:sz w:val="24"/>
          <w:szCs w:val="24"/>
        </w:rPr>
        <w:t xml:space="preserve"> and </w:t>
      </w:r>
      <w:hyperlink r:id="rId7" w:history="1">
        <w:r w:rsidRPr="00C32366">
          <w:rPr>
            <w:rStyle w:val="Hyperlink"/>
            <w:rFonts w:ascii="Tahoma" w:hAnsi="Tahoma" w:cs="Tahoma"/>
            <w:sz w:val="24"/>
            <w:szCs w:val="24"/>
          </w:rPr>
          <w:t xml:space="preserve">Part 2 </w:t>
        </w:r>
      </w:hyperlink>
      <w:r w:rsidRPr="00C32366">
        <w:rPr>
          <w:rFonts w:ascii="Tahoma" w:hAnsi="Tahoma" w:cs="Tahoma"/>
          <w:sz w:val="24"/>
          <w:szCs w:val="24"/>
        </w:rPr>
        <w:t xml:space="preserve">. </w:t>
      </w:r>
      <w:hyperlink r:id="rId8" w:history="1">
        <w:r w:rsidRPr="00C32366">
          <w:rPr>
            <w:rStyle w:val="Hyperlink"/>
            <w:rFonts w:ascii="Tahoma" w:hAnsi="Tahoma" w:cs="Tahoma"/>
            <w:sz w:val="24"/>
            <w:szCs w:val="24"/>
          </w:rPr>
          <w:t>Full document.</w:t>
        </w:r>
      </w:hyperlink>
      <w:r w:rsidRPr="00C32366">
        <w:rPr>
          <w:rFonts w:ascii="Tahoma" w:hAnsi="Tahoma" w:cs="Tahoma"/>
          <w:sz w:val="24"/>
          <w:szCs w:val="24"/>
        </w:rPr>
        <w:t xml:space="preserve"> </w:t>
      </w:r>
    </w:p>
    <w:p w:rsidR="00C32366" w:rsidRPr="00C32366" w:rsidRDefault="00C32366" w:rsidP="00C32366">
      <w:pPr>
        <w:rPr>
          <w:rFonts w:ascii="Tahoma" w:hAnsi="Tahoma" w:cs="Tahoma"/>
          <w:sz w:val="24"/>
          <w:szCs w:val="24"/>
        </w:rPr>
      </w:pPr>
    </w:p>
    <w:p w:rsidR="00C32366" w:rsidRPr="00C32366" w:rsidRDefault="00C32366" w:rsidP="00C32366">
      <w:pPr>
        <w:ind w:firstLine="720"/>
        <w:rPr>
          <w:rFonts w:ascii="Tahoma" w:hAnsi="Tahoma" w:cs="Tahoma"/>
          <w:sz w:val="24"/>
          <w:szCs w:val="24"/>
        </w:rPr>
      </w:pPr>
    </w:p>
    <w:p w:rsidR="00C32366" w:rsidRPr="00C32366" w:rsidRDefault="00C32366" w:rsidP="00C32366">
      <w:pPr>
        <w:pStyle w:val="ListParagraph"/>
        <w:shd w:val="clear" w:color="auto" w:fill="FFFFFF"/>
        <w:ind w:hanging="360"/>
        <w:textAlignment w:val="baseline"/>
        <w:rPr>
          <w:rFonts w:ascii="Tahoma" w:hAnsi="Tahoma" w:cs="Tahoma"/>
          <w:sz w:val="24"/>
          <w:szCs w:val="24"/>
        </w:rPr>
      </w:pPr>
      <w:r w:rsidRPr="00C32366">
        <w:rPr>
          <w:rFonts w:ascii="Tahoma" w:hAnsi="Tahoma" w:cs="Tahoma"/>
          <w:sz w:val="24"/>
          <w:szCs w:val="24"/>
        </w:rPr>
        <w:t>2.</w:t>
      </w:r>
      <w:r w:rsidRPr="00C32366">
        <w:rPr>
          <w:rFonts w:ascii="Tahoma" w:hAnsi="Tahoma" w:cs="Tahoma"/>
          <w:sz w:val="14"/>
          <w:szCs w:val="14"/>
        </w:rPr>
        <w:t xml:space="preserve">       </w:t>
      </w:r>
      <w:hyperlink r:id="rId9" w:history="1">
        <w:r w:rsidRPr="00C32366">
          <w:rPr>
            <w:rStyle w:val="Hyperlink"/>
            <w:rFonts w:ascii="Tahoma" w:hAnsi="Tahoma" w:cs="Tahoma"/>
            <w:sz w:val="24"/>
            <w:szCs w:val="24"/>
          </w:rPr>
          <w:t>Do's and Don'ts Guidelines for Parishes During Election Season</w:t>
        </w:r>
      </w:hyperlink>
    </w:p>
    <w:p w:rsidR="00C32366" w:rsidRPr="00C32366" w:rsidRDefault="00C32366" w:rsidP="00C32366">
      <w:pPr>
        <w:shd w:val="clear" w:color="auto" w:fill="FFFFFF"/>
        <w:spacing w:line="450" w:lineRule="atLeast"/>
        <w:textAlignment w:val="baseline"/>
        <w:rPr>
          <w:rFonts w:ascii="Tahoma" w:hAnsi="Tahoma" w:cs="Tahoma"/>
          <w:sz w:val="24"/>
          <w:szCs w:val="24"/>
        </w:rPr>
      </w:pPr>
      <w:r w:rsidRPr="00C32366">
        <w:rPr>
          <w:rFonts w:ascii="Tahoma" w:hAnsi="Tahoma" w:cs="Tahoma"/>
          <w:sz w:val="24"/>
          <w:szCs w:val="24"/>
          <w:bdr w:val="none" w:sz="0" w:space="0" w:color="auto" w:frame="1"/>
        </w:rPr>
        <w:t>Do:</w:t>
      </w:r>
      <w:r w:rsidRPr="00C32366">
        <w:rPr>
          <w:rFonts w:ascii="Tahoma" w:hAnsi="Tahoma" w:cs="Tahoma"/>
          <w:sz w:val="24"/>
          <w:szCs w:val="24"/>
        </w:rPr>
        <w:t> </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Address the moral and human dimensions of public issues.</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Share church teaching on human life, human rights, and justice and peace.</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Apply Catholic values to legislation and public issues.</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Conduct a non-partisan voter registration drive on church property.</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Distribute unbiased candidate questionnaires covering issues of human life, justice, and peace that have been reviewed and approved by your diocesan attorney.</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Check with your diocesan attorney if you have any questions about what is appropriate.</w:t>
      </w:r>
    </w:p>
    <w:p w:rsidR="00C32366" w:rsidRPr="00C32366" w:rsidRDefault="00C32366" w:rsidP="00C32366">
      <w:pPr>
        <w:shd w:val="clear" w:color="auto" w:fill="FFFFFF"/>
        <w:spacing w:line="450" w:lineRule="atLeast"/>
        <w:textAlignment w:val="baseline"/>
        <w:rPr>
          <w:rFonts w:ascii="Tahoma" w:hAnsi="Tahoma" w:cs="Tahoma"/>
          <w:sz w:val="24"/>
          <w:szCs w:val="24"/>
        </w:rPr>
      </w:pPr>
      <w:r w:rsidRPr="00C32366">
        <w:rPr>
          <w:rFonts w:ascii="Tahoma" w:hAnsi="Tahoma" w:cs="Tahoma"/>
          <w:sz w:val="24"/>
          <w:szCs w:val="24"/>
          <w:bdr w:val="none" w:sz="0" w:space="0" w:color="auto" w:frame="1"/>
        </w:rPr>
        <w:t>Don’t: </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Endorse or oppose candidates for political office.</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Distribute partisan campaign literature under church auspices.</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Arrange for groups to work for a candidate for public office.</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Invite only selected candidates to address your church-sponsored group.</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Conduct voter registration slanted toward one party.</w:t>
      </w:r>
    </w:p>
    <w:p w:rsidR="00C32366" w:rsidRPr="00C32366" w:rsidRDefault="00C32366" w:rsidP="00C32366">
      <w:pPr>
        <w:shd w:val="clear" w:color="auto" w:fill="FFFFFF"/>
        <w:ind w:hanging="360"/>
        <w:textAlignment w:val="baseline"/>
        <w:rPr>
          <w:rFonts w:ascii="Tahoma" w:hAnsi="Tahoma" w:cs="Tahoma"/>
          <w:sz w:val="24"/>
          <w:szCs w:val="24"/>
        </w:rPr>
      </w:pPr>
      <w:r w:rsidRPr="00C32366">
        <w:rPr>
          <w:rFonts w:ascii="Tahoma" w:hAnsi="Tahoma" w:cs="Tahoma"/>
          <w:sz w:val="20"/>
          <w:szCs w:val="20"/>
        </w:rPr>
        <w:t>·</w:t>
      </w:r>
      <w:r w:rsidRPr="00C32366">
        <w:rPr>
          <w:rFonts w:ascii="Tahoma" w:hAnsi="Tahoma" w:cs="Tahoma"/>
          <w:sz w:val="14"/>
          <w:szCs w:val="14"/>
        </w:rPr>
        <w:t xml:space="preserve">         </w:t>
      </w:r>
      <w:r w:rsidRPr="00C32366">
        <w:rPr>
          <w:rFonts w:ascii="Tahoma" w:hAnsi="Tahoma" w:cs="Tahoma"/>
          <w:sz w:val="24"/>
          <w:szCs w:val="24"/>
        </w:rPr>
        <w:t>Distribute a biased candidate survey.</w:t>
      </w:r>
    </w:p>
    <w:p w:rsidR="00C32366" w:rsidRPr="00C32366" w:rsidRDefault="00C32366" w:rsidP="00C32366">
      <w:pPr>
        <w:rPr>
          <w:rFonts w:ascii="Tahoma" w:hAnsi="Tahoma" w:cs="Tahoma"/>
          <w:sz w:val="24"/>
          <w:szCs w:val="24"/>
        </w:rPr>
      </w:pPr>
    </w:p>
    <w:p w:rsidR="00C32366" w:rsidRPr="00C32366" w:rsidRDefault="00C32366" w:rsidP="00C32366">
      <w:pPr>
        <w:rPr>
          <w:rFonts w:ascii="Tahoma" w:hAnsi="Tahoma" w:cs="Tahoma"/>
          <w:sz w:val="24"/>
          <w:szCs w:val="24"/>
        </w:rPr>
      </w:pPr>
    </w:p>
    <w:p w:rsidR="00C32366" w:rsidRPr="00C32366" w:rsidRDefault="00C32366" w:rsidP="00C32366">
      <w:pPr>
        <w:pStyle w:val="ListParagraph"/>
        <w:spacing w:after="160" w:line="252" w:lineRule="auto"/>
        <w:ind w:hanging="360"/>
        <w:contextualSpacing/>
        <w:rPr>
          <w:rFonts w:ascii="Tahoma" w:hAnsi="Tahoma" w:cs="Tahoma"/>
          <w:sz w:val="24"/>
          <w:szCs w:val="24"/>
        </w:rPr>
      </w:pPr>
      <w:r w:rsidRPr="00C32366">
        <w:rPr>
          <w:rFonts w:ascii="Tahoma" w:hAnsi="Tahoma" w:cs="Tahoma"/>
          <w:sz w:val="24"/>
          <w:szCs w:val="24"/>
        </w:rPr>
        <w:t>3.</w:t>
      </w:r>
      <w:r w:rsidRPr="00C32366">
        <w:rPr>
          <w:rFonts w:ascii="Tahoma" w:hAnsi="Tahoma" w:cs="Tahoma"/>
          <w:sz w:val="14"/>
          <w:szCs w:val="14"/>
        </w:rPr>
        <w:t xml:space="preserve">       </w:t>
      </w:r>
      <w:hyperlink r:id="rId10" w:history="1">
        <w:r w:rsidRPr="00C32366">
          <w:rPr>
            <w:rStyle w:val="Hyperlink"/>
            <w:rFonts w:ascii="Tahoma" w:hAnsi="Tahoma" w:cs="Tahoma"/>
            <w:sz w:val="24"/>
            <w:szCs w:val="24"/>
          </w:rPr>
          <w:t>Discussion Questions on Faithful Citizenship</w:t>
        </w:r>
      </w:hyperlink>
      <w:r w:rsidRPr="00C32366">
        <w:rPr>
          <w:rFonts w:ascii="Tahoma" w:hAnsi="Tahoma" w:cs="Tahoma"/>
          <w:sz w:val="24"/>
          <w:szCs w:val="24"/>
        </w:rPr>
        <w:t xml:space="preserve"> </w:t>
      </w:r>
    </w:p>
    <w:p w:rsidR="00C32366" w:rsidRPr="00C32366" w:rsidRDefault="00C32366" w:rsidP="00C32366">
      <w:pPr>
        <w:pStyle w:val="ListParagraph"/>
        <w:spacing w:after="160" w:line="252" w:lineRule="auto"/>
        <w:contextualSpacing/>
        <w:rPr>
          <w:rFonts w:ascii="Tahoma" w:hAnsi="Tahoma" w:cs="Tahoma"/>
          <w:sz w:val="24"/>
          <w:szCs w:val="24"/>
        </w:rPr>
      </w:pPr>
    </w:p>
    <w:p w:rsidR="00C32366" w:rsidRPr="00C32366" w:rsidRDefault="00C32366" w:rsidP="00C32366">
      <w:pPr>
        <w:pStyle w:val="ListParagraph"/>
        <w:spacing w:after="160" w:line="252" w:lineRule="auto"/>
        <w:ind w:hanging="360"/>
        <w:contextualSpacing/>
        <w:rPr>
          <w:rFonts w:ascii="Tahoma" w:hAnsi="Tahoma" w:cs="Tahoma"/>
          <w:sz w:val="24"/>
          <w:szCs w:val="24"/>
        </w:rPr>
      </w:pPr>
      <w:r w:rsidRPr="00C32366">
        <w:rPr>
          <w:rFonts w:ascii="Tahoma" w:hAnsi="Tahoma" w:cs="Tahoma"/>
          <w:sz w:val="24"/>
          <w:szCs w:val="24"/>
        </w:rPr>
        <w:t>4.</w:t>
      </w:r>
      <w:r w:rsidRPr="00C32366">
        <w:rPr>
          <w:rFonts w:ascii="Tahoma" w:hAnsi="Tahoma" w:cs="Tahoma"/>
          <w:sz w:val="14"/>
          <w:szCs w:val="14"/>
        </w:rPr>
        <w:t xml:space="preserve">       </w:t>
      </w:r>
      <w:r w:rsidRPr="00C32366">
        <w:rPr>
          <w:rFonts w:ascii="Tahoma" w:hAnsi="Tahoma" w:cs="Tahoma"/>
          <w:sz w:val="24"/>
          <w:szCs w:val="24"/>
        </w:rPr>
        <w:t>Prayers:</w:t>
      </w:r>
    </w:p>
    <w:p w:rsidR="00C32366" w:rsidRPr="00C32366" w:rsidRDefault="00C32366" w:rsidP="00C32366">
      <w:pPr>
        <w:pStyle w:val="ListParagraph"/>
        <w:spacing w:after="160" w:line="252" w:lineRule="auto"/>
        <w:ind w:left="1080" w:hanging="360"/>
        <w:contextualSpacing/>
        <w:rPr>
          <w:rFonts w:ascii="Tahoma" w:hAnsi="Tahoma" w:cs="Tahoma"/>
          <w:sz w:val="24"/>
          <w:szCs w:val="24"/>
        </w:rPr>
      </w:pPr>
      <w:r w:rsidRPr="00C32366">
        <w:rPr>
          <w:rFonts w:ascii="Tahoma" w:hAnsi="Tahoma" w:cs="Tahoma"/>
          <w:sz w:val="24"/>
          <w:szCs w:val="24"/>
        </w:rPr>
        <w:t>·</w:t>
      </w:r>
      <w:r w:rsidRPr="00C32366">
        <w:rPr>
          <w:rFonts w:ascii="Tahoma" w:hAnsi="Tahoma" w:cs="Tahoma"/>
          <w:sz w:val="14"/>
          <w:szCs w:val="14"/>
        </w:rPr>
        <w:t xml:space="preserve">         </w:t>
      </w:r>
      <w:hyperlink r:id="rId11" w:history="1">
        <w:r w:rsidRPr="00C32366">
          <w:rPr>
            <w:rStyle w:val="Hyperlink"/>
            <w:rFonts w:ascii="Tahoma" w:hAnsi="Tahoma" w:cs="Tahoma"/>
            <w:sz w:val="24"/>
            <w:szCs w:val="24"/>
          </w:rPr>
          <w:t>Novena for Faithful Citizenship</w:t>
        </w:r>
      </w:hyperlink>
      <w:r w:rsidRPr="00C32366">
        <w:rPr>
          <w:rFonts w:ascii="Tahoma" w:hAnsi="Tahoma" w:cs="Tahoma"/>
          <w:sz w:val="24"/>
          <w:szCs w:val="24"/>
        </w:rPr>
        <w:t xml:space="preserve"> </w:t>
      </w:r>
    </w:p>
    <w:p w:rsidR="00C32366" w:rsidRPr="00C32366" w:rsidRDefault="00C32366" w:rsidP="00C32366">
      <w:pPr>
        <w:pStyle w:val="ListParagraph"/>
        <w:spacing w:after="160" w:line="252" w:lineRule="auto"/>
        <w:ind w:left="1080" w:hanging="360"/>
        <w:contextualSpacing/>
        <w:rPr>
          <w:rFonts w:ascii="Tahoma" w:hAnsi="Tahoma" w:cs="Tahoma"/>
          <w:sz w:val="24"/>
          <w:szCs w:val="24"/>
        </w:rPr>
      </w:pPr>
      <w:r w:rsidRPr="00C32366">
        <w:rPr>
          <w:rFonts w:ascii="Tahoma" w:hAnsi="Tahoma" w:cs="Tahoma"/>
          <w:sz w:val="24"/>
          <w:szCs w:val="24"/>
        </w:rPr>
        <w:lastRenderedPageBreak/>
        <w:t>·</w:t>
      </w:r>
      <w:r w:rsidRPr="00C32366">
        <w:rPr>
          <w:rFonts w:ascii="Tahoma" w:hAnsi="Tahoma" w:cs="Tahoma"/>
          <w:sz w:val="14"/>
          <w:szCs w:val="14"/>
        </w:rPr>
        <w:t xml:space="preserve">         </w:t>
      </w:r>
      <w:hyperlink r:id="rId12" w:history="1">
        <w:r w:rsidRPr="00C32366">
          <w:rPr>
            <w:rStyle w:val="Hyperlink"/>
            <w:rFonts w:ascii="Tahoma" w:hAnsi="Tahoma" w:cs="Tahoma"/>
            <w:sz w:val="24"/>
            <w:szCs w:val="24"/>
          </w:rPr>
          <w:t>Prayer Before an Election</w:t>
        </w:r>
      </w:hyperlink>
      <w:r w:rsidRPr="00C32366">
        <w:rPr>
          <w:rFonts w:ascii="Tahoma" w:hAnsi="Tahoma" w:cs="Tahoma"/>
          <w:sz w:val="24"/>
          <w:szCs w:val="24"/>
        </w:rPr>
        <w:t xml:space="preserve">  </w:t>
      </w:r>
    </w:p>
    <w:p w:rsidR="00C32366" w:rsidRPr="00C32366" w:rsidRDefault="00C32366" w:rsidP="00C32366">
      <w:pPr>
        <w:pStyle w:val="ListParagraph"/>
        <w:spacing w:after="160" w:line="252" w:lineRule="auto"/>
        <w:ind w:left="1080" w:hanging="360"/>
        <w:contextualSpacing/>
        <w:rPr>
          <w:rFonts w:ascii="Tahoma" w:hAnsi="Tahoma" w:cs="Tahoma"/>
          <w:sz w:val="24"/>
          <w:szCs w:val="24"/>
        </w:rPr>
      </w:pPr>
      <w:r w:rsidRPr="00C32366">
        <w:rPr>
          <w:rFonts w:ascii="Tahoma" w:hAnsi="Tahoma" w:cs="Tahoma"/>
          <w:sz w:val="24"/>
          <w:szCs w:val="24"/>
        </w:rPr>
        <w:t>·</w:t>
      </w:r>
      <w:r w:rsidRPr="00C32366">
        <w:rPr>
          <w:rFonts w:ascii="Tahoma" w:hAnsi="Tahoma" w:cs="Tahoma"/>
          <w:sz w:val="14"/>
          <w:szCs w:val="14"/>
        </w:rPr>
        <w:t xml:space="preserve">         </w:t>
      </w:r>
      <w:hyperlink r:id="rId13" w:history="1">
        <w:r w:rsidRPr="00C32366">
          <w:rPr>
            <w:rStyle w:val="Hyperlink"/>
            <w:rFonts w:ascii="Tahoma" w:hAnsi="Tahoma" w:cs="Tahoma"/>
            <w:sz w:val="24"/>
            <w:szCs w:val="24"/>
          </w:rPr>
          <w:t>Liturgy suggestions leading up to an election</w:t>
        </w:r>
      </w:hyperlink>
      <w:r w:rsidRPr="00C32366">
        <w:rPr>
          <w:rFonts w:ascii="Tahoma" w:hAnsi="Tahoma" w:cs="Tahoma"/>
          <w:sz w:val="24"/>
          <w:szCs w:val="24"/>
        </w:rPr>
        <w:t xml:space="preserve"> – intercessions, votive Masses, hymns, Scripture </w:t>
      </w:r>
    </w:p>
    <w:p w:rsidR="00C32366" w:rsidRPr="00906899" w:rsidRDefault="00C32366" w:rsidP="00906899">
      <w:pPr>
        <w:pStyle w:val="ListParagraph"/>
        <w:spacing w:after="160" w:line="252" w:lineRule="auto"/>
        <w:ind w:left="1080" w:hanging="360"/>
        <w:contextualSpacing/>
        <w:rPr>
          <w:rFonts w:ascii="Tahoma" w:hAnsi="Tahoma" w:cs="Tahoma"/>
          <w:sz w:val="24"/>
          <w:szCs w:val="24"/>
        </w:rPr>
      </w:pPr>
      <w:r w:rsidRPr="00C32366">
        <w:rPr>
          <w:rFonts w:ascii="Tahoma" w:hAnsi="Tahoma" w:cs="Tahoma"/>
          <w:sz w:val="24"/>
          <w:szCs w:val="24"/>
        </w:rPr>
        <w:t>·</w:t>
      </w:r>
      <w:r w:rsidRPr="00C32366">
        <w:rPr>
          <w:rFonts w:ascii="Tahoma" w:hAnsi="Tahoma" w:cs="Tahoma"/>
          <w:sz w:val="14"/>
          <w:szCs w:val="14"/>
        </w:rPr>
        <w:t xml:space="preserve">         </w:t>
      </w:r>
      <w:hyperlink r:id="rId14" w:history="1">
        <w:r w:rsidRPr="00C32366">
          <w:rPr>
            <w:rStyle w:val="Hyperlink"/>
            <w:rFonts w:ascii="Tahoma" w:hAnsi="Tahoma" w:cs="Tahoma"/>
            <w:sz w:val="24"/>
            <w:szCs w:val="24"/>
          </w:rPr>
          <w:t>Nine Ways to Pray as a Faithful Citizen</w:t>
        </w:r>
      </w:hyperlink>
      <w:r w:rsidRPr="00C32366">
        <w:rPr>
          <w:rFonts w:ascii="Tahoma" w:hAnsi="Tahoma" w:cs="Tahoma"/>
          <w:sz w:val="24"/>
          <w:szCs w:val="24"/>
        </w:rPr>
        <w:t xml:space="preserve"> </w:t>
      </w:r>
      <w:r w:rsidRPr="00C32366">
        <w:rPr>
          <w:rFonts w:ascii="Tahoma" w:hAnsi="Tahoma" w:cs="Tahoma"/>
          <w:b/>
          <w:bCs/>
          <w:sz w:val="24"/>
          <w:szCs w:val="24"/>
        </w:rPr>
        <w:t xml:space="preserve">–  </w:t>
      </w:r>
      <w:r w:rsidRPr="00C32366">
        <w:rPr>
          <w:rFonts w:ascii="Tahoma" w:hAnsi="Tahoma" w:cs="Tahoma"/>
          <w:sz w:val="24"/>
          <w:szCs w:val="24"/>
        </w:rPr>
        <w:t xml:space="preserve">(incorporating </w:t>
      </w:r>
      <w:proofErr w:type="spellStart"/>
      <w:r w:rsidRPr="00C32366">
        <w:rPr>
          <w:rFonts w:ascii="Tahoma" w:hAnsi="Tahoma" w:cs="Tahoma"/>
          <w:sz w:val="24"/>
          <w:szCs w:val="24"/>
        </w:rPr>
        <w:t>Lectio</w:t>
      </w:r>
      <w:proofErr w:type="spellEnd"/>
      <w:r w:rsidRPr="00C32366">
        <w:rPr>
          <w:rFonts w:ascii="Tahoma" w:hAnsi="Tahoma" w:cs="Tahoma"/>
          <w:sz w:val="24"/>
          <w:szCs w:val="24"/>
        </w:rPr>
        <w:t xml:space="preserve"> </w:t>
      </w:r>
      <w:proofErr w:type="spellStart"/>
      <w:r w:rsidRPr="00C32366">
        <w:rPr>
          <w:rFonts w:ascii="Tahoma" w:hAnsi="Tahoma" w:cs="Tahoma"/>
          <w:sz w:val="24"/>
          <w:szCs w:val="24"/>
        </w:rPr>
        <w:t>Divina</w:t>
      </w:r>
      <w:proofErr w:type="spellEnd"/>
      <w:r w:rsidRPr="00C32366">
        <w:rPr>
          <w:rFonts w:ascii="Tahoma" w:hAnsi="Tahoma" w:cs="Tahoma"/>
          <w:sz w:val="24"/>
          <w:szCs w:val="24"/>
        </w:rPr>
        <w:t xml:space="preserve">, </w:t>
      </w:r>
      <w:proofErr w:type="spellStart"/>
      <w:r w:rsidRPr="00C32366">
        <w:rPr>
          <w:rFonts w:ascii="Tahoma" w:hAnsi="Tahoma" w:cs="Tahoma"/>
          <w:sz w:val="24"/>
          <w:szCs w:val="24"/>
        </w:rPr>
        <w:t>Ignatian</w:t>
      </w:r>
      <w:proofErr w:type="spellEnd"/>
      <w:r w:rsidRPr="00C32366">
        <w:rPr>
          <w:rFonts w:ascii="Tahoma" w:hAnsi="Tahoma" w:cs="Tahoma"/>
          <w:sz w:val="24"/>
          <w:szCs w:val="24"/>
        </w:rPr>
        <w:t xml:space="preserve"> prayer etc.) </w:t>
      </w:r>
    </w:p>
    <w:p w:rsidR="00D126CC" w:rsidRPr="00C32366" w:rsidRDefault="00D126CC">
      <w:pPr>
        <w:rPr>
          <w:rFonts w:ascii="Tahoma" w:hAnsi="Tahoma" w:cs="Tahoma"/>
        </w:rPr>
      </w:pPr>
    </w:p>
    <w:sectPr w:rsidR="00D126CC" w:rsidRPr="00C32366" w:rsidSect="00D12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66"/>
    <w:rsid w:val="001803BD"/>
    <w:rsid w:val="001A484C"/>
    <w:rsid w:val="003F1E2E"/>
    <w:rsid w:val="00485D66"/>
    <w:rsid w:val="004E5A3C"/>
    <w:rsid w:val="00627E3C"/>
    <w:rsid w:val="006A6BAE"/>
    <w:rsid w:val="00772E51"/>
    <w:rsid w:val="00782A36"/>
    <w:rsid w:val="0080456D"/>
    <w:rsid w:val="008312F4"/>
    <w:rsid w:val="00856EBA"/>
    <w:rsid w:val="00906899"/>
    <w:rsid w:val="009E4FF5"/>
    <w:rsid w:val="00C15D14"/>
    <w:rsid w:val="00C32366"/>
    <w:rsid w:val="00C56325"/>
    <w:rsid w:val="00C7632E"/>
    <w:rsid w:val="00CB2256"/>
    <w:rsid w:val="00D126CC"/>
    <w:rsid w:val="00D15D07"/>
    <w:rsid w:val="00D55938"/>
    <w:rsid w:val="00D75444"/>
    <w:rsid w:val="00E30B78"/>
    <w:rsid w:val="00FA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93A0"/>
  <w15:docId w15:val="{8EC59118-CF22-416C-AD63-CD14A08A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3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2366"/>
    <w:rPr>
      <w:color w:val="0563C1"/>
      <w:u w:val="single"/>
    </w:rPr>
  </w:style>
  <w:style w:type="paragraph" w:styleId="NoSpacing">
    <w:name w:val="No Spacing"/>
    <w:basedOn w:val="Normal"/>
    <w:uiPriority w:val="1"/>
    <w:qFormat/>
    <w:rsid w:val="00C32366"/>
    <w:rPr>
      <w:rFonts w:ascii="Times New Roman" w:hAnsi="Times New Roman"/>
      <w:sz w:val="24"/>
      <w:szCs w:val="24"/>
    </w:rPr>
  </w:style>
  <w:style w:type="paragraph" w:styleId="ListParagraph">
    <w:name w:val="List Paragraph"/>
    <w:basedOn w:val="Normal"/>
    <w:uiPriority w:val="34"/>
    <w:qFormat/>
    <w:rsid w:val="00C32366"/>
    <w:pPr>
      <w:ind w:left="720"/>
    </w:pPr>
  </w:style>
  <w:style w:type="character" w:customStyle="1" w:styleId="Hyperlink0">
    <w:name w:val="Hyperlink.0"/>
    <w:basedOn w:val="DefaultParagraphFont"/>
    <w:rsid w:val="00C32366"/>
    <w:rPr>
      <w:rFonts w:ascii="Verdana" w:hAnsi="Verdana" w:hint="default"/>
      <w:color w:val="0000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cb.org/issues-and-action/faithful-citizenship/upload/forming-consciences-for-faithful-citizenship.pdf" TargetMode="External"/><Relationship Id="rId13" Type="http://schemas.openxmlformats.org/officeDocument/2006/relationships/hyperlink" Target="https://www.usccb.org/issues-and-action/faithful-citizenship/liturgy-and-prayer-suggestions" TargetMode="External"/><Relationship Id="rId3" Type="http://schemas.openxmlformats.org/officeDocument/2006/relationships/webSettings" Target="webSettings.xml"/><Relationship Id="rId7" Type="http://schemas.openxmlformats.org/officeDocument/2006/relationships/hyperlink" Target="https://www.usccb.org/issues-and-action/faithful-citizenship/upload/The-Challenge-of-Forming-Consciences-for-Faithful-Citizenship-Part-2.pdf" TargetMode="External"/><Relationship Id="rId12" Type="http://schemas.openxmlformats.org/officeDocument/2006/relationships/hyperlink" Target="https://www.usccb.org/prayer-and-worship/prayers-and-devotions/prayers/prayer-before-an-elec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sccb.org/issues-and-action/faithful-citizenship/upload/The-Challenge-of-Forming-Consciences-for-Faithful-Citizenship-Part-1.pdf" TargetMode="External"/><Relationship Id="rId11" Type="http://schemas.openxmlformats.org/officeDocument/2006/relationships/hyperlink" Target="https://www.usccb.org/prayer-and-worship/prayers-and-devotions/prayers/novena-for-faithful-citizenship" TargetMode="External"/><Relationship Id="rId5" Type="http://schemas.openxmlformats.org/officeDocument/2006/relationships/hyperlink" Target="https://archny.org/questions-sin-voting/" TargetMode="External"/><Relationship Id="rId15" Type="http://schemas.openxmlformats.org/officeDocument/2006/relationships/fontTable" Target="fontTable.xml"/><Relationship Id="rId10" Type="http://schemas.openxmlformats.org/officeDocument/2006/relationships/hyperlink" Target="https://www.usccb.org/resources/questions-reflection-and-discussion" TargetMode="External"/><Relationship Id="rId4" Type="http://schemas.openxmlformats.org/officeDocument/2006/relationships/hyperlink" Target="https://www.usccb.org/issues-and-action/faithful-citizenship/upload/forming-consciences-for-faithful-citizenship.pdf" TargetMode="External"/><Relationship Id="rId9" Type="http://schemas.openxmlformats.org/officeDocument/2006/relationships/hyperlink" Target="https://www.usccb.org/resources/dos-and-donts-guidelines-during-election-season" TargetMode="External"/><Relationship Id="rId14" Type="http://schemas.openxmlformats.org/officeDocument/2006/relationships/hyperlink" Target="https://www.usccb.org/prayer-and-worship/prayers-and-devotions/prayers/praying-like-a-faithful-citi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mmeade</dc:creator>
  <cp:lastModifiedBy>Mary Kathryn Fogarty</cp:lastModifiedBy>
  <cp:revision>2</cp:revision>
  <dcterms:created xsi:type="dcterms:W3CDTF">2020-09-17T18:17:00Z</dcterms:created>
  <dcterms:modified xsi:type="dcterms:W3CDTF">2020-09-17T18:17:00Z</dcterms:modified>
</cp:coreProperties>
</file>